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C25A6" w14:textId="77777777" w:rsidR="00572684" w:rsidRDefault="00000000">
      <w:pPr>
        <w:pStyle w:val="Heading1"/>
      </w:pPr>
      <w:bookmarkStart w:id="0" w:name="forward-propagating-zero"/>
      <w:r>
        <w:t>Forward-Propagating Zero</w:t>
      </w:r>
    </w:p>
    <w:p w14:paraId="11DD381C" w14:textId="1729FC30" w:rsidR="00572684" w:rsidRDefault="00000000">
      <w:pPr>
        <w:pStyle w:val="Heading2"/>
      </w:pPr>
      <w:bookmarkStart w:id="1" w:name="X2d83c95938b1038648c9defa6243e0c36d5332b"/>
      <w:r>
        <w:t>A formalized exploratory framework for equilibrium</w:t>
      </w:r>
      <w:r w:rsidR="00744C7B">
        <w:t xml:space="preserve"> of error</w:t>
      </w:r>
      <w:r>
        <w:t>, perturbation</w:t>
      </w:r>
      <w:r w:rsidR="00744C7B">
        <w:t xml:space="preserve"> of wave functions</w:t>
      </w:r>
      <w:r>
        <w:t>, oscillation</w:t>
      </w:r>
      <w:r w:rsidR="00744C7B">
        <w:t xml:space="preserve"> propagation</w:t>
      </w:r>
      <w:r>
        <w:t xml:space="preserve">, and multiscale </w:t>
      </w:r>
      <w:r w:rsidR="00744C7B">
        <w:t xml:space="preserve">dynamic </w:t>
      </w:r>
      <w:r>
        <w:t>resonance</w:t>
      </w:r>
    </w:p>
    <w:p w14:paraId="6EBE45BD" w14:textId="77777777" w:rsidR="00572684" w:rsidRDefault="00000000">
      <w:pPr>
        <w:pStyle w:val="Heading3"/>
      </w:pPr>
      <w:bookmarkStart w:id="2" w:name="abstract"/>
      <w:r>
        <w:t>Abstract</w:t>
      </w:r>
    </w:p>
    <w:p w14:paraId="14864D03" w14:textId="40BC769C" w:rsidR="00572684" w:rsidRDefault="00000000">
      <w:pPr>
        <w:pStyle w:val="FirstParagraph"/>
      </w:pPr>
      <w:r>
        <w:t xml:space="preserve">This paper develops a more rigorous version of the exploratory framework previously called </w:t>
      </w:r>
      <w:r>
        <w:rPr>
          <w:b/>
          <w:bCs/>
        </w:rPr>
        <w:t>forward-propagating zero</w:t>
      </w:r>
      <w:r>
        <w:t xml:space="preserve">. The purpose is not to claim a new theorem in analysis, number theory, or physics, but to convert a broad conceptual discussion into a structured mathematical program with explicit definitions, admissible claims, and clearly separated conjectural components. The central idea is to treat certain uses of “zero” not as nothingness, but as a </w:t>
      </w:r>
      <w:r>
        <w:rPr>
          <w:b/>
          <w:bCs/>
        </w:rPr>
        <w:t>balanced reference state</w:t>
      </w:r>
      <w:r>
        <w:t xml:space="preserve"> within a model. Perturbation away from that state is then represented by an error term, and the resulting departure may be studied with the language of oscillation, normalization, and resonance.</w:t>
      </w:r>
    </w:p>
    <w:p w14:paraId="7F452E8C" w14:textId="77777777" w:rsidR="00572684" w:rsidRDefault="00000000">
      <w:pPr>
        <w:pStyle w:val="BodyText"/>
      </w:pPr>
      <w:r>
        <w:t xml:space="preserve">The framework is organized in three layers. The first layer contains standard mathematical identities and definitions, including trigonometric relations, bounded oscillatory forms, and decimal envelopes for constants. The second layer introduces model-dependent definitions such as </w:t>
      </w:r>
      <w:r>
        <w:rPr>
          <w:b/>
          <w:bCs/>
        </w:rPr>
        <w:t>balanced zero</w:t>
      </w:r>
      <w:r>
        <w:t xml:space="preserve">, </w:t>
      </w:r>
      <w:r>
        <w:rPr>
          <w:b/>
          <w:bCs/>
        </w:rPr>
        <w:t>forward-propagating zero</w:t>
      </w:r>
      <w:r>
        <w:t xml:space="preserve">, </w:t>
      </w:r>
      <w:r>
        <w:rPr>
          <w:b/>
          <w:bCs/>
        </w:rPr>
        <w:t>unity balance</w:t>
      </w:r>
      <w:r>
        <w:t xml:space="preserve">, and </w:t>
      </w:r>
      <w:r>
        <w:rPr>
          <w:b/>
          <w:bCs/>
        </w:rPr>
        <w:t>error admissibility</w:t>
      </w:r>
      <w:r>
        <w:t>. The third layer contains conjectural interpretations, including symbolic readings of emergence, directional bias, and number-theoretic boundary behavior. This layered approach is designed to preserve mathematical discipline while still allowing speculative interpretation.</w:t>
      </w:r>
    </w:p>
    <w:p w14:paraId="1C17B57C" w14:textId="77777777" w:rsidR="00572684" w:rsidRDefault="00000000">
      <w:pPr>
        <w:pStyle w:val="BodyText"/>
      </w:pPr>
      <w:r>
        <w:t>A neutral trigonometric function, [ N(x)=x+x=(x+), ] plays a central role because it provides a concrete example of bounded oscillation around a balanced center. A family of multiscale resonance maps is then introduced to study how oscillatory interactions and near-singular denominators generate structured qualitative regimes. These maps are deterministic and computable; they can therefore be used as exploratory instruments even when their conceptual interpretation remains open.</w:t>
      </w:r>
    </w:p>
    <w:p w14:paraId="549A1D01" w14:textId="77777777" w:rsidR="00572684" w:rsidRDefault="00000000">
      <w:pPr>
        <w:pStyle w:val="BodyText"/>
      </w:pPr>
      <w:r>
        <w:t>The main contribution of this paper is methodological. It provides a cleaner statement of what is formal, what is model-dependent, and what remains speculative. In that sense, forward-propagating zero is proposed not as an established scientific theory, but as a disciplined research scaffold for studying how structure can emerge from equilibrium under bounded perturbation.</w:t>
      </w:r>
    </w:p>
    <w:p w14:paraId="375789BA" w14:textId="77777777" w:rsidR="00572684" w:rsidRDefault="00000000">
      <w:r>
        <w:pict w14:anchorId="49E22940">
          <v:rect id="_x0000_i1025" style="width:0;height:1.5pt" o:hralign="center" o:hrstd="t" o:hr="t"/>
        </w:pict>
      </w:r>
    </w:p>
    <w:p w14:paraId="344B80A9" w14:textId="77777777" w:rsidR="00572684" w:rsidRDefault="00000000">
      <w:pPr>
        <w:pStyle w:val="Heading2"/>
      </w:pPr>
      <w:bookmarkStart w:id="3" w:name="introduction"/>
      <w:bookmarkEnd w:id="1"/>
      <w:bookmarkEnd w:id="2"/>
      <w:r>
        <w:t>1. Introduction</w:t>
      </w:r>
    </w:p>
    <w:p w14:paraId="4F938FF0" w14:textId="77777777" w:rsidR="00572684" w:rsidRDefault="00000000">
      <w:pPr>
        <w:pStyle w:val="FirstParagraph"/>
      </w:pPr>
      <w:r>
        <w:t>A recurring question across mathematics, physics, signal theory, and generative systems is how structured behavior emerges from states that are initially symmetric, balanced, or apparently neutral. In standard mathematics, zero often functions as a neutral additive identity. In dynamical systems, however, equilibrium states may be stable, unstable, or metastable, and small perturbations can drive nontrivial evolution. The present framework begins from that general observation.</w:t>
      </w:r>
    </w:p>
    <w:p w14:paraId="6B05BB08" w14:textId="77777777" w:rsidR="00572684" w:rsidRDefault="00000000">
      <w:pPr>
        <w:pStyle w:val="BodyText"/>
      </w:pPr>
      <w:r>
        <w:t xml:space="preserve">The phrase </w:t>
      </w:r>
      <w:r>
        <w:rPr>
          <w:b/>
          <w:bCs/>
        </w:rPr>
        <w:t>forward-propagating zero</w:t>
      </w:r>
      <w:r>
        <w:t xml:space="preserve"> is therefore not intended as a replacement for the arithmetic meaning of zero. Instead, it names a modeling perspective: zero may be treated as a reference equilibrium, and departures from that equilibrium may be analyzed as generators of direction, asymmetry, or propagation. This is a conceptual move, not a theorem. Its value depends on whether it yields coherent definitions, computable diagnostics, and testable conjectures.</w:t>
      </w:r>
    </w:p>
    <w:p w14:paraId="55E521BC" w14:textId="77777777" w:rsidR="00572684" w:rsidRDefault="00000000">
      <w:pPr>
        <w:pStyle w:val="BodyText"/>
      </w:pPr>
      <w:r>
        <w:t>To avoid category confusion, the paper distinguishes three kinds of statements throughout:</w:t>
      </w:r>
    </w:p>
    <w:p w14:paraId="524BFEA4" w14:textId="77777777" w:rsidR="00572684" w:rsidRDefault="00000000">
      <w:pPr>
        <w:pStyle w:val="Compact"/>
        <w:numPr>
          <w:ilvl w:val="0"/>
          <w:numId w:val="2"/>
        </w:numPr>
      </w:pPr>
      <w:r>
        <w:rPr>
          <w:b/>
          <w:bCs/>
        </w:rPr>
        <w:t>Formal statements</w:t>
      </w:r>
      <w:r>
        <w:t>: identities, inequalities, definitions, and constructions that are standard or directly provable.</w:t>
      </w:r>
    </w:p>
    <w:p w14:paraId="4874AF25" w14:textId="77777777" w:rsidR="00572684" w:rsidRDefault="00000000">
      <w:pPr>
        <w:pStyle w:val="Compact"/>
        <w:numPr>
          <w:ilvl w:val="0"/>
          <w:numId w:val="2"/>
        </w:numPr>
      </w:pPr>
      <w:r>
        <w:rPr>
          <w:b/>
          <w:bCs/>
        </w:rPr>
        <w:t>Framework statements</w:t>
      </w:r>
      <w:r>
        <w:t>: model-dependent definitions introduced for the purposes of this paper.</w:t>
      </w:r>
    </w:p>
    <w:p w14:paraId="3F7008EA" w14:textId="77777777" w:rsidR="00572684" w:rsidRDefault="00000000">
      <w:pPr>
        <w:pStyle w:val="Compact"/>
        <w:numPr>
          <w:ilvl w:val="0"/>
          <w:numId w:val="2"/>
        </w:numPr>
      </w:pPr>
      <w:r>
        <w:rPr>
          <w:b/>
          <w:bCs/>
        </w:rPr>
        <w:t>Interpretive statements</w:t>
      </w:r>
      <w:r>
        <w:t>: heuristic or symbolic readings that may motivate further work but are not themselves mathematical results.</w:t>
      </w:r>
    </w:p>
    <w:p w14:paraId="4812D71E" w14:textId="77777777" w:rsidR="00572684" w:rsidRDefault="00000000">
      <w:pPr>
        <w:pStyle w:val="FirstParagraph"/>
      </w:pPr>
      <w:r>
        <w:t>This separation is essential. Several ideas motivating the framework are intuitively strong but mathematically underdetermined. A rigorous draft should therefore reduce ambiguity, identify admissible operations, and mark the boundary between exact mathematics and exploratory interpretation.</w:t>
      </w:r>
    </w:p>
    <w:p w14:paraId="15D37923" w14:textId="77777777" w:rsidR="00572684" w:rsidRDefault="00000000">
      <w:r>
        <w:pict w14:anchorId="0455508C">
          <v:rect id="_x0000_i1026" style="width:0;height:1.5pt" o:hralign="center" o:hrstd="t" o:hr="t"/>
        </w:pict>
      </w:r>
    </w:p>
    <w:p w14:paraId="6CDAE205" w14:textId="77777777" w:rsidR="00572684" w:rsidRDefault="00000000">
      <w:pPr>
        <w:pStyle w:val="Heading2"/>
      </w:pPr>
      <w:bookmarkStart w:id="4" w:name="formal-preliminaries"/>
      <w:bookmarkEnd w:id="3"/>
      <w:r>
        <w:t>2. Formal preliminaries</w:t>
      </w:r>
    </w:p>
    <w:p w14:paraId="241DBD66" w14:textId="77777777" w:rsidR="00572684" w:rsidRDefault="00000000">
      <w:pPr>
        <w:pStyle w:val="Heading3"/>
      </w:pPr>
      <w:bookmarkStart w:id="5" w:name="standard-constants-and-notation"/>
      <w:r>
        <w:t>2.1. Standard constants and notation</w:t>
      </w:r>
    </w:p>
    <w:p w14:paraId="23F7B4F8" w14:textId="77777777" w:rsidR="00572684" w:rsidRDefault="00000000">
      <w:pPr>
        <w:pStyle w:val="FirstParagraph"/>
      </w:pPr>
      <w:r>
        <w:t>Let [ e, ] denote the usual mathematical constants. Let () be the real numbers and () the integers.</w:t>
      </w:r>
    </w:p>
    <w:p w14:paraId="70E6496F" w14:textId="77777777" w:rsidR="00572684" w:rsidRDefault="00000000">
      <w:pPr>
        <w:pStyle w:val="BodyText"/>
      </w:pPr>
      <w:r>
        <w:t>For decimal precision (d), define the lower and upper decimal envelopes of () by [ _l(d)=,  _u(d)=. ] Then [ _l(d)_u(d), ] with strict inequality whenever () is not exactly representable at precision (d).</w:t>
      </w:r>
    </w:p>
    <w:p w14:paraId="4D9C2222" w14:textId="77777777" w:rsidR="00572684" w:rsidRDefault="00000000">
      <w:pPr>
        <w:pStyle w:val="Heading3"/>
      </w:pPr>
      <w:bookmarkStart w:id="6" w:name="neutral-oscillation"/>
      <w:bookmarkEnd w:id="5"/>
      <w:r>
        <w:t>2.2. Neutral oscillation</w:t>
      </w:r>
    </w:p>
    <w:p w14:paraId="79D64119" w14:textId="77777777" w:rsidR="00572684" w:rsidRDefault="00000000">
      <w:pPr>
        <w:pStyle w:val="FirstParagraph"/>
      </w:pPr>
      <w:r>
        <w:t>Define [ N(x)=x+x. ] Using the angle-shift identity, [ N(x)=(x+)=(x-). ] Hence (N) is bounded by [ -N(x), ] and its zeros occur at [ x=-+k,k. ] These facts are standard. In the present framework, they provide a canonical example of an oscillatory quantity centered on zero but never static except at isolated points.</w:t>
      </w:r>
    </w:p>
    <w:p w14:paraId="2B8C589D" w14:textId="77777777" w:rsidR="00572684" w:rsidRDefault="00000000">
      <w:pPr>
        <w:pStyle w:val="Heading3"/>
      </w:pPr>
      <w:bookmarkStart w:id="7" w:name="trigonometric-direction-and-growth-rate"/>
      <w:bookmarkEnd w:id="6"/>
      <w:r>
        <w:t>2.3. Trigonometric direction and growth rate</w:t>
      </w:r>
    </w:p>
    <w:p w14:paraId="423054AE" w14:textId="77777777" w:rsidR="00572684" w:rsidRDefault="00000000">
      <w:pPr>
        <w:pStyle w:val="FirstParagraph"/>
      </w:pPr>
      <w:r>
        <w:t xml:space="preserve">The usual identity [ =  ] is valid whenever (). Also, [ x = ^2 x. ] The distinction between (x) and its derivative matters. Any framework that treats tangent as a directional quantity must keep separate the ideas of </w:t>
      </w:r>
      <w:r>
        <w:rPr>
          <w:b/>
          <w:bCs/>
        </w:rPr>
        <w:t>direction</w:t>
      </w:r>
      <w:r>
        <w:t xml:space="preserve">, </w:t>
      </w:r>
      <w:r>
        <w:rPr>
          <w:b/>
          <w:bCs/>
        </w:rPr>
        <w:t>slope</w:t>
      </w:r>
      <w:r>
        <w:t xml:space="preserve">, and </w:t>
      </w:r>
      <w:r>
        <w:rPr>
          <w:b/>
          <w:bCs/>
        </w:rPr>
        <w:t>change in directional sensitivity</w:t>
      </w:r>
      <w:r>
        <w:t>.</w:t>
      </w:r>
    </w:p>
    <w:p w14:paraId="532D624A" w14:textId="77777777" w:rsidR="00572684" w:rsidRDefault="00000000">
      <w:r>
        <w:pict w14:anchorId="57FFCB99">
          <v:rect id="_x0000_i1027" style="width:0;height:1.5pt" o:hralign="center" o:hrstd="t" o:hr="t"/>
        </w:pict>
      </w:r>
    </w:p>
    <w:p w14:paraId="0F208AE0" w14:textId="77777777" w:rsidR="00572684" w:rsidRDefault="00000000">
      <w:pPr>
        <w:pStyle w:val="Heading2"/>
      </w:pPr>
      <w:bookmarkStart w:id="8" w:name="core-framework-definitions"/>
      <w:bookmarkEnd w:id="4"/>
      <w:bookmarkEnd w:id="7"/>
      <w:r>
        <w:t>3. Core framework definitions</w:t>
      </w:r>
    </w:p>
    <w:p w14:paraId="6E7C6C9E" w14:textId="77777777" w:rsidR="00572684" w:rsidRDefault="00000000">
      <w:pPr>
        <w:pStyle w:val="Heading3"/>
      </w:pPr>
      <w:bookmarkStart w:id="9" w:name="balanced-zero"/>
      <w:r>
        <w:t>3.1. Balanced zero</w:t>
      </w:r>
    </w:p>
    <w:p w14:paraId="365FE0E9" w14:textId="77777777" w:rsidR="00572684" w:rsidRDefault="00000000">
      <w:pPr>
        <w:pStyle w:val="FirstParagraph"/>
      </w:pPr>
      <w:r>
        <w:rPr>
          <w:b/>
          <w:bCs/>
        </w:rPr>
        <w:t>Definition 3.1.</w:t>
      </w:r>
      <w:r>
        <w:t xml:space="preserve"> A </w:t>
      </w:r>
      <w:r>
        <w:rPr>
          <w:b/>
          <w:bCs/>
        </w:rPr>
        <w:t>balanced zero state</w:t>
      </w:r>
      <w:r>
        <w:t xml:space="preserve"> is a model state (z_b) chosen as a reference equilibrium satisfying [ (z_b)=0 ] for some governing residual map ().</w:t>
      </w:r>
    </w:p>
    <w:p w14:paraId="174419B2" w14:textId="77777777" w:rsidR="00572684" w:rsidRDefault="00000000">
      <w:pPr>
        <w:pStyle w:val="BodyText"/>
      </w:pPr>
      <w:r>
        <w:t>This definition is intentionally general. It does not assert that zero itself is dynamic in ordinary arithmetic. Rather, it says that in a chosen model, a zero residual may represent balance.</w:t>
      </w:r>
    </w:p>
    <w:p w14:paraId="2A9A8D58" w14:textId="77777777" w:rsidR="00572684" w:rsidRDefault="00000000">
      <w:pPr>
        <w:pStyle w:val="Heading3"/>
      </w:pPr>
      <w:bookmarkStart w:id="10" w:name="forward-propagating-zero-1"/>
      <w:bookmarkEnd w:id="9"/>
      <w:r>
        <w:t>3.2. Forward-propagating zero</w:t>
      </w:r>
    </w:p>
    <w:p w14:paraId="062D2DFB" w14:textId="77777777" w:rsidR="00572684" w:rsidRDefault="00000000">
      <w:pPr>
        <w:pStyle w:val="FirstParagraph"/>
      </w:pPr>
      <w:r>
        <w:rPr>
          <w:b/>
          <w:bCs/>
        </w:rPr>
        <w:t>Definition 3.2.</w:t>
      </w:r>
      <w:r>
        <w:t xml:space="preserve"> Let (z_b) be a balanced zero state. A </w:t>
      </w:r>
      <w:r>
        <w:rPr>
          <w:b/>
          <w:bCs/>
        </w:rPr>
        <w:t>forward-propagating zero state</w:t>
      </w:r>
      <w:r>
        <w:t xml:space="preserve"> is a perturbed state [ z_f = z_b + , ] where () is a nonzero perturbation term and the induced dynamics satisfy a nontrivial propagation criterion such as [ _t(z_f) z_b  t&gt;0, ] with (_t) denoting the system evolution.</w:t>
      </w:r>
    </w:p>
    <w:p w14:paraId="0E49B4D4" w14:textId="77777777" w:rsidR="00572684" w:rsidRDefault="00000000">
      <w:pPr>
        <w:pStyle w:val="BodyText"/>
      </w:pPr>
      <w:r>
        <w:t>This definition makes the framework more precise than the informal slogan “zero propagates under error.” Propagation is not caused by the symbol 0 alone. It occurs because a balanced reference state is perturbed within a dynamical rule.</w:t>
      </w:r>
    </w:p>
    <w:p w14:paraId="3CAAD6CC" w14:textId="77777777" w:rsidR="00572684" w:rsidRDefault="00000000">
      <w:pPr>
        <w:pStyle w:val="Heading3"/>
      </w:pPr>
      <w:bookmarkStart w:id="11" w:name="unity-balance-and-tolerance"/>
      <w:bookmarkEnd w:id="10"/>
      <w:r>
        <w:t>3.3. Unity balance and tolerance</w:t>
      </w:r>
    </w:p>
    <w:p w14:paraId="00FF2947" w14:textId="77777777" w:rsidR="00572684" w:rsidRDefault="00000000">
      <w:pPr>
        <w:pStyle w:val="FirstParagraph"/>
      </w:pPr>
      <w:r>
        <w:t>The original framework used a unity balance constant and a tolerance band. Here this is formalized as follows.</w:t>
      </w:r>
    </w:p>
    <w:p w14:paraId="57DF421D" w14:textId="77777777" w:rsidR="00572684" w:rsidRDefault="00000000">
      <w:pPr>
        <w:pStyle w:val="BodyText"/>
      </w:pPr>
      <w:r>
        <w:rPr>
          <w:b/>
          <w:bCs/>
        </w:rPr>
        <w:t>Definition 3.3.</w:t>
      </w:r>
      <w:r>
        <w:t xml:space="preserve"> Let [ K_u = 1,  K_t = . ] A normalized quantity (X) is said to satisfy the </w:t>
      </w:r>
      <w:r>
        <w:rPr>
          <w:b/>
          <w:bCs/>
        </w:rPr>
        <w:t>unity balance condition</w:t>
      </w:r>
      <w:r>
        <w:t xml:space="preserve"> when [ |X-K_u|&lt;K_t. ]</w:t>
      </w:r>
    </w:p>
    <w:p w14:paraId="2AF82AA7" w14:textId="77777777" w:rsidR="00572684" w:rsidRDefault="00000000">
      <w:pPr>
        <w:pStyle w:val="BodyText"/>
      </w:pPr>
      <w:r>
        <w:t>This is a model convention, not a universal law. The quantity (K_t=e/^2) is mathematically well-defined, but its interpretation as a privileged tolerance scale is introduced by the framework rather than derived from first principles.</w:t>
      </w:r>
    </w:p>
    <w:p w14:paraId="0D891EFD" w14:textId="77777777" w:rsidR="00572684" w:rsidRDefault="00000000">
      <w:pPr>
        <w:pStyle w:val="Heading3"/>
      </w:pPr>
      <w:bookmarkStart w:id="12" w:name="error-decomposition"/>
      <w:bookmarkEnd w:id="11"/>
      <w:r>
        <w:t>3.4. Error decomposition</w:t>
      </w:r>
    </w:p>
    <w:p w14:paraId="60768CFA" w14:textId="77777777" w:rsidR="00572684" w:rsidRDefault="00000000">
      <w:pPr>
        <w:pStyle w:val="FirstParagraph"/>
      </w:pPr>
      <w:r>
        <w:rPr>
          <w:b/>
          <w:bCs/>
        </w:rPr>
        <w:t>Definition 3.4.</w:t>
      </w:r>
      <w:r>
        <w:t xml:space="preserve"> The total perturbation error is decomposed as [ =_r+</w:t>
      </w:r>
      <w:r>
        <w:rPr>
          <w:i/>
          <w:iCs/>
        </w:rPr>
        <w:t>s+</w:t>
      </w:r>
      <w:r>
        <w:t>{str}, ] where: - (_r) denotes random error, - (</w:t>
      </w:r>
      <w:r>
        <w:rPr>
          <w:i/>
          <w:iCs/>
        </w:rPr>
        <w:t>s) denotes systematic error, - (</w:t>
      </w:r>
      <w:r>
        <w:t>{str}) denotes structural error.</w:t>
      </w:r>
    </w:p>
    <w:p w14:paraId="3F0B2E15" w14:textId="77777777" w:rsidR="00572684" w:rsidRDefault="00000000">
      <w:pPr>
        <w:pStyle w:val="BodyText"/>
      </w:pPr>
      <w:r>
        <w:t>This decomposition is common in spirit, although the exact partition is framework-specific. It is useful because it separates noise-like variability, biased drift, and model-form inadequacy.</w:t>
      </w:r>
    </w:p>
    <w:p w14:paraId="2AF3BE9C" w14:textId="77777777" w:rsidR="00572684" w:rsidRDefault="00000000">
      <w:pPr>
        <w:pStyle w:val="Heading3"/>
      </w:pPr>
      <w:bookmarkStart w:id="13" w:name="error-dominance-ratio"/>
      <w:bookmarkEnd w:id="12"/>
      <w:r>
        <w:t>3.5. Error dominance ratio</w:t>
      </w:r>
    </w:p>
    <w:p w14:paraId="63E43E7C" w14:textId="77777777" w:rsidR="00572684" w:rsidRDefault="00000000">
      <w:pPr>
        <w:pStyle w:val="FirstParagraph"/>
      </w:pPr>
      <w:r>
        <w:t>Define the diagnostic ratio [ R_e=, &gt;0. ] Large (R_e) suggests that mismatch is dominated by random and systematic effects relative to structural mismatch. Small (R_e) suggests that the model form itself is the dominant problem. This ratio is best understood as a heuristic diagnostic unless embedded in a specific statistical setting.</w:t>
      </w:r>
    </w:p>
    <w:p w14:paraId="463E16C1" w14:textId="77777777" w:rsidR="00572684" w:rsidRDefault="00000000">
      <w:r>
        <w:pict w14:anchorId="0B328407">
          <v:rect id="_x0000_i1028" style="width:0;height:1.5pt" o:hralign="center" o:hrstd="t" o:hr="t"/>
        </w:pict>
      </w:r>
    </w:p>
    <w:p w14:paraId="56FBBFAE" w14:textId="77777777" w:rsidR="00572684" w:rsidRDefault="00000000">
      <w:pPr>
        <w:pStyle w:val="Heading2"/>
      </w:pPr>
      <w:bookmarkStart w:id="14" w:name="neutral-trigonometric-model-of-balance"/>
      <w:bookmarkEnd w:id="8"/>
      <w:bookmarkEnd w:id="13"/>
      <w:r>
        <w:t>4. Neutral trigonometric model of balance</w:t>
      </w:r>
    </w:p>
    <w:p w14:paraId="12F560B0" w14:textId="77777777" w:rsidR="00572684" w:rsidRDefault="00000000">
      <w:pPr>
        <w:pStyle w:val="FirstParagraph"/>
      </w:pPr>
      <w:r>
        <w:t>The neutral function (N(x)=x+x) provides an analytically tractable example of a balanced oscillatory system.</w:t>
      </w:r>
    </w:p>
    <w:p w14:paraId="6A8AF7AF" w14:textId="77777777" w:rsidR="00572684" w:rsidRDefault="00000000">
      <w:pPr>
        <w:pStyle w:val="Heading3"/>
      </w:pPr>
      <w:bookmarkStart w:id="15" w:name="exact-phase-form"/>
      <w:r>
        <w:t>4.1. Exact phase form</w:t>
      </w:r>
    </w:p>
    <w:p w14:paraId="704CD3CE" w14:textId="77777777" w:rsidR="00572684" w:rsidRDefault="00000000">
      <w:pPr>
        <w:pStyle w:val="FirstParagraph"/>
      </w:pPr>
      <w:r>
        <w:t>Because [ N(x)=(x+), ] the function oscillates around zero with amplitude () and phase shift (/4). In the framework, the zero crossings of (N) are interpreted as balance points at which two complementary oscillatory components cancel.</w:t>
      </w:r>
    </w:p>
    <w:p w14:paraId="4E6680DE" w14:textId="77777777" w:rsidR="00572684" w:rsidRDefault="00000000">
      <w:pPr>
        <w:pStyle w:val="Heading3"/>
      </w:pPr>
      <w:bookmarkStart w:id="16" w:name="directed-phase-envelopes"/>
      <w:bookmarkEnd w:id="15"/>
      <w:r>
        <w:t>4.2. Directed phase envelopes</w:t>
      </w:r>
    </w:p>
    <w:p w14:paraId="4D6AA861" w14:textId="77777777" w:rsidR="00572684" w:rsidRDefault="00000000">
      <w:pPr>
        <w:pStyle w:val="FirstParagraph"/>
      </w:pPr>
      <w:r>
        <w:t>For fixed decimal precision (d), define [ N_l^{(d)}(x)=(x+),  N_u^{(d)}(x)=(x+). ] These are lower and upper phase-envelope approximations to (N). Since [ , ] the exact neutral form lies between two directed decimal surrogates in phase parameterization.</w:t>
      </w:r>
    </w:p>
    <w:p w14:paraId="0FCA6204" w14:textId="77777777" w:rsidR="00572684" w:rsidRDefault="00000000">
      <w:pPr>
        <w:pStyle w:val="BodyText"/>
      </w:pPr>
      <w:r>
        <w:t>This does not imply an order relation (N_l</w:t>
      </w:r>
      <w:r>
        <w:rPr>
          <w:vertAlign w:val="superscript"/>
        </w:rPr>
        <w:t>{(d)}(x)N(x)N_u</w:t>
      </w:r>
      <w:r>
        <w:t>{(d)}(x)) for all (x), because sine is not globally monotone. What is valid is that the phase shifts are bounded. This distinction is important for rigor.</w:t>
      </w:r>
    </w:p>
    <w:p w14:paraId="621EDF96" w14:textId="77777777" w:rsidR="00572684" w:rsidRDefault="00000000">
      <w:pPr>
        <w:pStyle w:val="Heading3"/>
      </w:pPr>
      <w:bookmarkStart w:id="17" w:name="three-state-interpretation"/>
      <w:bookmarkEnd w:id="16"/>
      <w:r>
        <w:t>4.3. Three-state interpretation</w:t>
      </w:r>
    </w:p>
    <w:p w14:paraId="557456CE" w14:textId="77777777" w:rsidR="00572684" w:rsidRDefault="00000000">
      <w:pPr>
        <w:pStyle w:val="FirstParagraph"/>
      </w:pPr>
      <w:r>
        <w:t>For interpretation only, one may classify the sign states of (N) by [ N(x)&gt;0,N(x)=0,N(x)&lt;0. ] These may be called positive, neutral, and negative oscillatory states. This naming is harmless as long as it is understood to be descriptive rather than foundational.</w:t>
      </w:r>
    </w:p>
    <w:p w14:paraId="6B330A74" w14:textId="77777777" w:rsidR="00572684" w:rsidRDefault="00000000">
      <w:r>
        <w:pict w14:anchorId="2BFFB30C">
          <v:rect id="_x0000_i1029" style="width:0;height:1.5pt" o:hralign="center" o:hrstd="t" o:hr="t"/>
        </w:pict>
      </w:r>
    </w:p>
    <w:p w14:paraId="2024FA61" w14:textId="77777777" w:rsidR="00572684" w:rsidRDefault="00000000">
      <w:pPr>
        <w:pStyle w:val="Heading2"/>
      </w:pPr>
      <w:bookmarkStart w:id="18" w:name="continuous-discrete-agreement"/>
      <w:bookmarkEnd w:id="14"/>
      <w:bookmarkEnd w:id="17"/>
      <w:r>
        <w:t>5. Continuous-discrete agreement</w:t>
      </w:r>
    </w:p>
    <w:p w14:paraId="45A626FE" w14:textId="77777777" w:rsidR="00572684" w:rsidRDefault="00000000">
      <w:pPr>
        <w:pStyle w:val="FirstParagraph"/>
      </w:pPr>
      <w:r>
        <w:t>A recurring theme in the earlier draft was that summation and integration can become effectively equivalent under fine discretization. The rigorous statement is standard.</w:t>
      </w:r>
    </w:p>
    <w:p w14:paraId="1232AA41" w14:textId="77777777" w:rsidR="00572684" w:rsidRDefault="00000000">
      <w:pPr>
        <w:pStyle w:val="BodyText"/>
      </w:pPr>
      <w:r>
        <w:t>Let (f) be Riemann integrable on ([a,b]). Then suitable Riemann sums satisfy [ _{k=1}^{n} f(x_k^*),x_k _a^b f(x),dx _kx_k. ]</w:t>
      </w:r>
    </w:p>
    <w:p w14:paraId="3CBA3A22" w14:textId="77777777" w:rsidR="00572684" w:rsidRDefault="00000000">
      <w:pPr>
        <w:pStyle w:val="BodyText"/>
      </w:pPr>
      <w:r>
        <w:t>Within the framework, this limiting agreement may be read as a normalization principle connecting discrete and continuous descriptions. That interpretation is heuristic. The mathematical fact is simply convergence of Riemann sums under the usual hypotheses.</w:t>
      </w:r>
    </w:p>
    <w:p w14:paraId="4F54FEDF" w14:textId="77777777" w:rsidR="00572684" w:rsidRDefault="00000000">
      <w:r>
        <w:pict w14:anchorId="0B84972C">
          <v:rect id="_x0000_i1030" style="width:0;height:1.5pt" o:hralign="center" o:hrstd="t" o:hr="t"/>
        </w:pict>
      </w:r>
    </w:p>
    <w:p w14:paraId="0AC286A9" w14:textId="77777777" w:rsidR="00572684" w:rsidRDefault="00000000">
      <w:pPr>
        <w:pStyle w:val="Heading2"/>
      </w:pPr>
      <w:bookmarkStart w:id="19" w:name="X01c18a7c769296a261987f8e1762de8315e0897"/>
      <w:bookmarkEnd w:id="18"/>
      <w:r>
        <w:t>6. Resonance family and exploratory dynamics</w:t>
      </w:r>
    </w:p>
    <w:p w14:paraId="63B4A61C" w14:textId="77777777" w:rsidR="00572684" w:rsidRDefault="00000000">
      <w:pPr>
        <w:pStyle w:val="Heading3"/>
      </w:pPr>
      <w:bookmarkStart w:id="20" w:name="base-resonance-map"/>
      <w:r>
        <w:t>6.1. Base resonance map</w:t>
      </w:r>
    </w:p>
    <w:p w14:paraId="24555A2A" w14:textId="77777777" w:rsidR="00572684" w:rsidRDefault="00000000">
      <w:pPr>
        <w:pStyle w:val="FirstParagraph"/>
      </w:pPr>
      <w:r>
        <w:t>The exploratory core of the framework is a family of deterministic maps of the form [ Y(x;n_1,n_2,n_3,) = , ] with parameters (n_1,n_2,n_3&gt;0) and (&gt;0).</w:t>
      </w:r>
    </w:p>
    <w:p w14:paraId="7970B680" w14:textId="77777777" w:rsidR="00572684" w:rsidRDefault="00000000">
      <w:pPr>
        <w:pStyle w:val="BodyText"/>
      </w:pPr>
      <w:r>
        <w:t>This expression is well-defined wherever the denominator is nonzero. The map is deterministic, but because numerator and denominator oscillate at distinct effective scales, it can generate complicated ridge-trough structure and sharp transitions near denominator minima.</w:t>
      </w:r>
    </w:p>
    <w:p w14:paraId="74164402" w14:textId="77777777" w:rsidR="00572684" w:rsidRDefault="00000000">
      <w:pPr>
        <w:pStyle w:val="Heading3"/>
      </w:pPr>
      <w:bookmarkStart w:id="21" w:name="interpretation-of-parameter-roles"/>
      <w:bookmarkEnd w:id="20"/>
      <w:r>
        <w:t>6.2. Interpretation of parameter roles</w:t>
      </w:r>
    </w:p>
    <w:p w14:paraId="153BF624" w14:textId="77777777" w:rsidR="00572684" w:rsidRDefault="00000000">
      <w:pPr>
        <w:pStyle w:val="FirstParagraph"/>
      </w:pPr>
      <w:r>
        <w:t>A useful modeling interpretation is: - (n_1): numerator phase or excitation scale, - (n_2): denominator scaling or attenuation scale, - (n_3): denominator phase sensitivity, - (): regularization term preventing singular blow-up.</w:t>
      </w:r>
    </w:p>
    <w:p w14:paraId="385E8ED5" w14:textId="77777777" w:rsidR="00572684" w:rsidRDefault="00000000">
      <w:pPr>
        <w:pStyle w:val="BodyText"/>
      </w:pPr>
      <w:r>
        <w:t>This interpretation is not unique, but it is operationally meaningful for computation.</w:t>
      </w:r>
    </w:p>
    <w:p w14:paraId="1E9A4D5C" w14:textId="77777777" w:rsidR="00572684" w:rsidRDefault="00000000">
      <w:pPr>
        <w:pStyle w:val="Heading3"/>
      </w:pPr>
      <w:bookmarkStart w:id="22" w:name="constant-probe-variant"/>
      <w:bookmarkEnd w:id="21"/>
      <w:r>
        <w:t>6.3. Constant-probe variant</w:t>
      </w:r>
    </w:p>
    <w:p w14:paraId="20967CF1" w14:textId="77777777" w:rsidR="00572684" w:rsidRDefault="00000000">
      <w:pPr>
        <w:pStyle w:val="FirstParagraph"/>
      </w:pPr>
      <w:r>
        <w:t>A conceptually motivated specialization is [ Y_c(x;e_p,_u,_l,) = , ] where (e_p) is a probed growth-scale parameter and (_u,_l) are decimal-envelope surrogates for ().</w:t>
      </w:r>
    </w:p>
    <w:p w14:paraId="4843FE12" w14:textId="77777777" w:rsidR="00572684" w:rsidRDefault="00000000">
      <w:pPr>
        <w:pStyle w:val="BodyText"/>
      </w:pPr>
      <w:r>
        <w:t>The mathematically valid claim here is limited: one may compare how nearby parameter substitutions affect computed fields. One may not infer from such sensitivity alone that the constants (e) or () possess new hidden physical properties.</w:t>
      </w:r>
    </w:p>
    <w:p w14:paraId="7376CE2E" w14:textId="77777777" w:rsidR="00572684" w:rsidRDefault="00000000">
      <w:pPr>
        <w:pStyle w:val="Heading3"/>
      </w:pPr>
      <w:bookmarkStart w:id="23" w:name="error-admissibility-supplement"/>
      <w:bookmarkEnd w:id="22"/>
      <w:r>
        <w:t>6.4. Error admissibility supplement</w:t>
      </w:r>
    </w:p>
    <w:p w14:paraId="2FD0AC27" w14:textId="77777777" w:rsidR="00572684" w:rsidRDefault="00000000">
      <w:pPr>
        <w:pStyle w:val="FirstParagraph"/>
      </w:pPr>
      <w:r>
        <w:t>To formalize the supplementary lower-bound idea, let (t_1,t_2&gt;0) be reference and propagation time periods, let (g^</w:t>
      </w:r>
      <w:r>
        <w:rPr>
          <w:i/>
          <w:iCs/>
        </w:rPr>
        <w:t>=g/g_0) be normalized gravity relative to a fixed reference (g_0&gt;0), and let (n_4) be a mode index. Define [ = g^</w:t>
      </w:r>
      <w:r>
        <w:t xml:space="preserve"> n_4. ] Then an admissibility threshold of the form [ e^{-} ] may be studied as a model assumption.</w:t>
      </w:r>
    </w:p>
    <w:p w14:paraId="73692E4E" w14:textId="77777777" w:rsidR="00572684" w:rsidRDefault="00000000">
      <w:pPr>
        <w:pStyle w:val="BodyText"/>
      </w:pPr>
      <w:r>
        <w:t>This statement should be treated carefully. It is dimensionally sensible because () is dimensionless under the stated normalization. But the inequality is still a framework postulate, not a derived law.</w:t>
      </w:r>
    </w:p>
    <w:p w14:paraId="252253E2" w14:textId="77777777" w:rsidR="00572684" w:rsidRDefault="00000000">
      <w:r>
        <w:pict w14:anchorId="78A83538">
          <v:rect id="_x0000_i1031" style="width:0;height:1.5pt" o:hralign="center" o:hrstd="t" o:hr="t"/>
        </w:pict>
      </w:r>
    </w:p>
    <w:p w14:paraId="30F8CE28" w14:textId="77777777" w:rsidR="00572684" w:rsidRDefault="00000000">
      <w:pPr>
        <w:pStyle w:val="Heading2"/>
      </w:pPr>
      <w:bookmarkStart w:id="24" w:name="computational-research-program"/>
      <w:bookmarkEnd w:id="19"/>
      <w:bookmarkEnd w:id="23"/>
      <w:r>
        <w:t>7. Computational research program</w:t>
      </w:r>
    </w:p>
    <w:p w14:paraId="5409B231" w14:textId="77777777" w:rsidR="00572684" w:rsidRDefault="00000000">
      <w:pPr>
        <w:pStyle w:val="FirstParagraph"/>
      </w:pPr>
      <w:r>
        <w:t>The framework becomes most useful when converted into explicit computational tasks. The following program is mathematically modest but methodologically sound.</w:t>
      </w:r>
    </w:p>
    <w:p w14:paraId="1305DD97" w14:textId="77777777" w:rsidR="00572684" w:rsidRDefault="00000000">
      <w:pPr>
        <w:pStyle w:val="Heading3"/>
      </w:pPr>
      <w:bookmarkStart w:id="25" w:name="field-visualization"/>
      <w:r>
        <w:t>7.1. Field visualization</w:t>
      </w:r>
    </w:p>
    <w:p w14:paraId="6312B0E3" w14:textId="77777777" w:rsidR="00572684" w:rsidRDefault="00000000">
      <w:pPr>
        <w:pStyle w:val="FirstParagraph"/>
      </w:pPr>
      <w:r>
        <w:t>For bounded parameter ranges, compute level sets, heat maps, and singularity contours of (Y). Record: 1. ridge formation, 2. sign transitions, 3. sensitivity to (), 4. stability under small parameter perturbations.</w:t>
      </w:r>
    </w:p>
    <w:p w14:paraId="5F18D5CC" w14:textId="77777777" w:rsidR="00572684" w:rsidRDefault="00000000">
      <w:pPr>
        <w:pStyle w:val="Heading3"/>
      </w:pPr>
      <w:bookmarkStart w:id="26" w:name="sonification"/>
      <w:bookmarkEnd w:id="25"/>
      <w:r>
        <w:t>7.2. Sonification</w:t>
      </w:r>
    </w:p>
    <w:p w14:paraId="56CECB13" w14:textId="77777777" w:rsidR="00572684" w:rsidRDefault="00000000">
      <w:pPr>
        <w:pStyle w:val="FirstParagraph"/>
      </w:pPr>
      <w:r>
        <w:t>Map sampled values of (Y) into audio synthesis pipelines. Because the signal is deterministic, the resulting audio is better described as structured interference than as random noise. Questions of interest include spectral concentration, transient density, and regime-change audibility.</w:t>
      </w:r>
    </w:p>
    <w:p w14:paraId="56517B2E" w14:textId="77777777" w:rsidR="00572684" w:rsidRDefault="00000000">
      <w:pPr>
        <w:pStyle w:val="Heading3"/>
      </w:pPr>
      <w:bookmarkStart w:id="27" w:name="perturbation-studies"/>
      <w:bookmarkEnd w:id="26"/>
      <w:r>
        <w:t>7.3. Perturbation studies</w:t>
      </w:r>
    </w:p>
    <w:p w14:paraId="0EEF8767" w14:textId="77777777" w:rsidR="00572684" w:rsidRDefault="00000000">
      <w:pPr>
        <w:pStyle w:val="FirstParagraph"/>
      </w:pPr>
      <w:r>
        <w:t>For fixed (x)-ranges and parameter baselines, vary one parameter at a time and compute: - sup-norm differences, - zero-crossing counts, - peak density, - local variance, - spectral summaries.</w:t>
      </w:r>
    </w:p>
    <w:p w14:paraId="162A3F48" w14:textId="77777777" w:rsidR="00572684" w:rsidRDefault="00000000">
      <w:pPr>
        <w:pStyle w:val="BodyText"/>
      </w:pPr>
      <w:r>
        <w:t>This would move the project from impressionistic pattern recognition toward reproducible computational analysis.</w:t>
      </w:r>
    </w:p>
    <w:p w14:paraId="6DCA5DDB" w14:textId="77777777" w:rsidR="00572684" w:rsidRDefault="00000000">
      <w:r>
        <w:pict w14:anchorId="680E950F">
          <v:rect id="_x0000_i1032" style="width:0;height:1.5pt" o:hralign="center" o:hrstd="t" o:hr="t"/>
        </w:pict>
      </w:r>
    </w:p>
    <w:p w14:paraId="077F9D50" w14:textId="77777777" w:rsidR="00572684" w:rsidRDefault="00000000">
      <w:pPr>
        <w:pStyle w:val="Heading2"/>
      </w:pPr>
      <w:bookmarkStart w:id="28" w:name="admissible-and-inadmissible-claims"/>
      <w:bookmarkEnd w:id="24"/>
      <w:bookmarkEnd w:id="27"/>
      <w:r>
        <w:t>8. Admissible and inadmissible claims</w:t>
      </w:r>
    </w:p>
    <w:p w14:paraId="45C2B831" w14:textId="77777777" w:rsidR="00572684" w:rsidRDefault="00000000">
      <w:pPr>
        <w:pStyle w:val="FirstParagraph"/>
      </w:pPr>
      <w:r>
        <w:t>A rigorous version of the framework must explicitly state what follows from the mathematics and what does not.</w:t>
      </w:r>
    </w:p>
    <w:p w14:paraId="5A20F722" w14:textId="77777777" w:rsidR="00572684" w:rsidRDefault="00000000">
      <w:pPr>
        <w:pStyle w:val="Heading3"/>
      </w:pPr>
      <w:bookmarkStart w:id="29" w:name="admissible-claims"/>
      <w:r>
        <w:t>8.1. Admissible claims</w:t>
      </w:r>
    </w:p>
    <w:p w14:paraId="3DB5AA32" w14:textId="77777777" w:rsidR="00572684" w:rsidRDefault="00000000">
      <w:pPr>
        <w:pStyle w:val="FirstParagraph"/>
      </w:pPr>
      <w:r>
        <w:t>The following claims are defensible within the current draft: 1. The neutral function (N(x)=x+x) has exact amplitude-phase form and explicitly computable zeros. 2. Decimal envelopes (_l(d),_u(d)) define bounded rational approximants to (). 3. The resonance family (Y) is deterministic and computationally explorable. 4. Regularization by (&gt;0) suppresses actual singularities while preserving sensitivity near denominator minima. 5. The framework supplies a consistent vocabulary for discussing equilibrium, perturbation, bounded deviation, and oscillatory emergence.</w:t>
      </w:r>
    </w:p>
    <w:p w14:paraId="7D4F07A4" w14:textId="77777777" w:rsidR="00572684" w:rsidRDefault="00000000">
      <w:pPr>
        <w:pStyle w:val="Heading3"/>
      </w:pPr>
      <w:bookmarkStart w:id="30" w:name="inadmissible-claims-at-the-present-stage"/>
      <w:bookmarkEnd w:id="29"/>
      <w:r>
        <w:t>8.2. Inadmissible claims at the present stage</w:t>
      </w:r>
    </w:p>
    <w:p w14:paraId="5BE529B8" w14:textId="77777777" w:rsidR="00572684" w:rsidRDefault="00000000">
      <w:pPr>
        <w:pStyle w:val="FirstParagraph"/>
      </w:pPr>
      <w:r>
        <w:t xml:space="preserve">The following claims are </w:t>
      </w:r>
      <w:r>
        <w:rPr>
          <w:b/>
          <w:bCs/>
        </w:rPr>
        <w:t>not</w:t>
      </w:r>
      <w:r>
        <w:t xml:space="preserve"> established by this paper: 1. Any new theorem about prime numbers. 2. Any proof that (e) is intrinsically oscillatory. 3. Any proof that decimal-envelope variants of () reveal a new physical law. 4. Any unique metaphysical interpretation of the computed resonance maps. 5. Any claim that the phrase “forward-propagating zero” describes a fundamental law of nature.</w:t>
      </w:r>
    </w:p>
    <w:p w14:paraId="017E5D87" w14:textId="77777777" w:rsidR="00572684" w:rsidRDefault="00000000">
      <w:pPr>
        <w:pStyle w:val="BodyText"/>
      </w:pPr>
      <w:r>
        <w:t>This boundary statement is central to the credibility of the project.</w:t>
      </w:r>
    </w:p>
    <w:p w14:paraId="67D6A3CF" w14:textId="77777777" w:rsidR="00572684" w:rsidRDefault="00000000">
      <w:r>
        <w:pict w14:anchorId="12795A10">
          <v:rect id="_x0000_i1033" style="width:0;height:1.5pt" o:hralign="center" o:hrstd="t" o:hr="t"/>
        </w:pict>
      </w:r>
    </w:p>
    <w:p w14:paraId="30573D01" w14:textId="77777777" w:rsidR="00572684" w:rsidRDefault="00000000">
      <w:pPr>
        <w:pStyle w:val="Heading2"/>
      </w:pPr>
      <w:bookmarkStart w:id="31" w:name="number-theoretic-boundary-remarks"/>
      <w:bookmarkEnd w:id="28"/>
      <w:bookmarkEnd w:id="30"/>
      <w:r>
        <w:t>9. Number-theoretic boundary remarks</w:t>
      </w:r>
    </w:p>
    <w:p w14:paraId="1DCC1786" w14:textId="77777777" w:rsidR="00572684" w:rsidRDefault="00000000">
      <w:pPr>
        <w:pStyle w:val="FirstParagraph"/>
      </w:pPr>
      <w:r>
        <w:t>Earlier versions of the project suggested a symbolic descent [ ,29,17,11,5,3,2,1,0_f. ] This should be retained, if at all, only as a philosophical or poetic appendix. In standard number theory, 1 is neither prime nor composite, and zero is not a prime boundary in the sense suggested by the symbolic notation above.</w:t>
      </w:r>
    </w:p>
    <w:p w14:paraId="39AF2016" w14:textId="77777777" w:rsidR="00572684" w:rsidRDefault="00000000">
      <w:pPr>
        <w:pStyle w:val="BodyText"/>
      </w:pPr>
      <w:r>
        <w:t>A more defensible reformulation would be: the project uses primes and the integer 1 as metaphors for discreteness, uniqueness, and terminal normalization. That is an interpretive choice, not a theorem.</w:t>
      </w:r>
    </w:p>
    <w:p w14:paraId="0E6EAC82" w14:textId="77777777" w:rsidR="00572684" w:rsidRDefault="00000000">
      <w:r>
        <w:pict w14:anchorId="5480C3B8">
          <v:rect id="_x0000_i1034" style="width:0;height:1.5pt" o:hralign="center" o:hrstd="t" o:hr="t"/>
        </w:pict>
      </w:r>
    </w:p>
    <w:p w14:paraId="46DCB9C3" w14:textId="77777777" w:rsidR="00572684" w:rsidRDefault="00000000">
      <w:pPr>
        <w:pStyle w:val="Heading2"/>
      </w:pPr>
      <w:bookmarkStart w:id="32" w:name="discussion"/>
      <w:bookmarkEnd w:id="31"/>
      <w:r>
        <w:t>10. Discussion</w:t>
      </w:r>
    </w:p>
    <w:p w14:paraId="1CCF5312" w14:textId="77777777" w:rsidR="00572684" w:rsidRDefault="00000000">
      <w:pPr>
        <w:pStyle w:val="FirstParagraph"/>
      </w:pPr>
      <w:r>
        <w:t>The strongest version of forward-propagating zero is not a grand claim about mathematics being rewritten. It is a structured modeling proposal built from a simple template:</w:t>
      </w:r>
    </w:p>
    <w:p w14:paraId="58B29C39" w14:textId="77777777" w:rsidR="00572684" w:rsidRDefault="00000000">
      <w:pPr>
        <w:pStyle w:val="Compact"/>
        <w:numPr>
          <w:ilvl w:val="0"/>
          <w:numId w:val="3"/>
        </w:numPr>
      </w:pPr>
      <w:r>
        <w:t>choose a reference equilibrium,</w:t>
      </w:r>
    </w:p>
    <w:p w14:paraId="572029DF" w14:textId="77777777" w:rsidR="00572684" w:rsidRDefault="00000000">
      <w:pPr>
        <w:pStyle w:val="Compact"/>
        <w:numPr>
          <w:ilvl w:val="0"/>
          <w:numId w:val="3"/>
        </w:numPr>
      </w:pPr>
      <w:r>
        <w:t>specify perturbation classes,</w:t>
      </w:r>
    </w:p>
    <w:p w14:paraId="07F330D3" w14:textId="77777777" w:rsidR="00572684" w:rsidRDefault="00000000">
      <w:pPr>
        <w:pStyle w:val="Compact"/>
        <w:numPr>
          <w:ilvl w:val="0"/>
          <w:numId w:val="3"/>
        </w:numPr>
      </w:pPr>
      <w:r>
        <w:t>define a propagation rule,</w:t>
      </w:r>
    </w:p>
    <w:p w14:paraId="17A4B5D8" w14:textId="77777777" w:rsidR="00572684" w:rsidRDefault="00000000">
      <w:pPr>
        <w:pStyle w:val="Compact"/>
        <w:numPr>
          <w:ilvl w:val="0"/>
          <w:numId w:val="3"/>
        </w:numPr>
      </w:pPr>
      <w:r>
        <w:t>study bounded oscillatory observables,</w:t>
      </w:r>
    </w:p>
    <w:p w14:paraId="24E0D2DF" w14:textId="77777777" w:rsidR="00572684" w:rsidRDefault="00000000">
      <w:pPr>
        <w:pStyle w:val="Compact"/>
        <w:numPr>
          <w:ilvl w:val="0"/>
          <w:numId w:val="3"/>
        </w:numPr>
      </w:pPr>
      <w:r>
        <w:t>compare deterministic patterns under parameter variation.</w:t>
      </w:r>
    </w:p>
    <w:p w14:paraId="60067FB7" w14:textId="77777777" w:rsidR="00572684" w:rsidRDefault="00000000">
      <w:pPr>
        <w:pStyle w:val="FirstParagraph"/>
      </w:pPr>
      <w:r>
        <w:t>Seen this way, the framework connects naturally with perturbation theory, dynamical systems, signal analysis, and computational aesthetics. Its originality lies less in any single formula than in the attempt to unify equilibrium, error, oscillation, and emergence within one vocabulary.</w:t>
      </w:r>
    </w:p>
    <w:p w14:paraId="745E6CFD" w14:textId="77777777" w:rsidR="00572684" w:rsidRDefault="00000000">
      <w:pPr>
        <w:pStyle w:val="BodyText"/>
      </w:pPr>
      <w:r>
        <w:t>To become stronger, the project should next do three things: first, attach every symbolic term to an explicit model class; second, convert visual observations into quantitative descriptors; and third, test whether any apparently stable features survive reparameterization. Only then can one judge whether the framework is merely expressive or genuinely explanatory.</w:t>
      </w:r>
    </w:p>
    <w:p w14:paraId="65881A1F" w14:textId="77777777" w:rsidR="00572684" w:rsidRDefault="00000000">
      <w:r>
        <w:pict w14:anchorId="6AE1549D">
          <v:rect id="_x0000_i1035" style="width:0;height:1.5pt" o:hralign="center" o:hrstd="t" o:hr="t"/>
        </w:pict>
      </w:r>
    </w:p>
    <w:p w14:paraId="315F0CFA" w14:textId="77777777" w:rsidR="00572684" w:rsidRDefault="00000000">
      <w:pPr>
        <w:pStyle w:val="Heading2"/>
      </w:pPr>
      <w:bookmarkStart w:id="33" w:name="conclusion"/>
      <w:bookmarkEnd w:id="32"/>
      <w:r>
        <w:t>11. Conclusion</w:t>
      </w:r>
    </w:p>
    <w:p w14:paraId="26819403" w14:textId="77777777" w:rsidR="00572684" w:rsidRDefault="00000000">
      <w:pPr>
        <w:pStyle w:val="FirstParagraph"/>
      </w:pPr>
      <w:r>
        <w:t>This paper has reformulated the forward-propagating zero project into a more rigorous exploratory draft. The revised form preserves the central intuition that structured propagation may begin from a balanced state under perturbation, but it removes unnecessary ambiguity by distinguishing exact mathematics from model conventions and interpretive language.</w:t>
      </w:r>
    </w:p>
    <w:p w14:paraId="5417EB9D" w14:textId="77777777" w:rsidR="00572684" w:rsidRDefault="00000000">
      <w:pPr>
        <w:pStyle w:val="BodyText"/>
      </w:pPr>
      <w:r>
        <w:t>The principal mathematical anchors are standard: trigonometric identities, bounded oscillation, decimal approximations, normalization, and deterministic parameterized maps. The principal framework contribution is to organize these anchors into a coherent research program centered on equilibrium and emergence. The principal caution is equally important: the present work is a scaffold for disciplined inquiry, not a proof of a new theorem or physical law.</w:t>
      </w:r>
    </w:p>
    <w:p w14:paraId="34B6CC8A" w14:textId="77777777" w:rsidR="00572684" w:rsidRDefault="00000000">
      <w:pPr>
        <w:pStyle w:val="BodyText"/>
      </w:pPr>
      <w:r>
        <w:t>In its most defensible form, forward-propagating zero is a research language for studying how balance becomes direction under perturbation.</w:t>
      </w:r>
    </w:p>
    <w:p w14:paraId="63D19030" w14:textId="77777777" w:rsidR="00572684" w:rsidRDefault="00000000">
      <w:r>
        <w:pict w14:anchorId="61780504">
          <v:rect id="_x0000_i1036" style="width:0;height:1.5pt" o:hralign="center" o:hrstd="t" o:hr="t"/>
        </w:pict>
      </w:r>
    </w:p>
    <w:p w14:paraId="79957B45" w14:textId="77777777" w:rsidR="00572684" w:rsidRDefault="00000000">
      <w:pPr>
        <w:pStyle w:val="Heading2"/>
      </w:pPr>
      <w:bookmarkStart w:id="34" w:name="appendix-a.-notation"/>
      <w:bookmarkEnd w:id="33"/>
      <w:r>
        <w:t>Appendix A. Notation</w:t>
      </w:r>
    </w:p>
    <w:p w14:paraId="76A6ED3D" w14:textId="77777777" w:rsidR="00572684" w:rsidRDefault="00000000">
      <w:pPr>
        <w:pStyle w:val="Compact"/>
        <w:numPr>
          <w:ilvl w:val="0"/>
          <w:numId w:val="4"/>
        </w:numPr>
      </w:pPr>
      <w:r>
        <w:t>(z_b): balanced zero state</w:t>
      </w:r>
    </w:p>
    <w:p w14:paraId="7CE84201" w14:textId="77777777" w:rsidR="00572684" w:rsidRDefault="00000000">
      <w:pPr>
        <w:pStyle w:val="Compact"/>
        <w:numPr>
          <w:ilvl w:val="0"/>
          <w:numId w:val="4"/>
        </w:numPr>
      </w:pPr>
      <w:r>
        <w:t>(z_f): forward-propagating zero state</w:t>
      </w:r>
    </w:p>
    <w:p w14:paraId="75392283" w14:textId="77777777" w:rsidR="00572684" w:rsidRDefault="00000000">
      <w:pPr>
        <w:pStyle w:val="Compact"/>
        <w:numPr>
          <w:ilvl w:val="0"/>
          <w:numId w:val="4"/>
        </w:numPr>
      </w:pPr>
      <w:r>
        <w:t>(K_u): unity balance constant, equal to 1</w:t>
      </w:r>
    </w:p>
    <w:p w14:paraId="2BEDE910" w14:textId="77777777" w:rsidR="00572684" w:rsidRDefault="00000000">
      <w:pPr>
        <w:pStyle w:val="Compact"/>
        <w:numPr>
          <w:ilvl w:val="0"/>
          <w:numId w:val="4"/>
        </w:numPr>
      </w:pPr>
      <w:r>
        <w:t>(K_t): tolerance constant, equal to (e/^2)</w:t>
      </w:r>
    </w:p>
    <w:p w14:paraId="6112CCD3" w14:textId="77777777" w:rsidR="00572684" w:rsidRDefault="00000000">
      <w:pPr>
        <w:pStyle w:val="Compact"/>
        <w:numPr>
          <w:ilvl w:val="0"/>
          <w:numId w:val="4"/>
        </w:numPr>
      </w:pPr>
      <w:r>
        <w:t>(_r): random error</w:t>
      </w:r>
    </w:p>
    <w:p w14:paraId="29489578" w14:textId="77777777" w:rsidR="00572684" w:rsidRDefault="00000000">
      <w:pPr>
        <w:pStyle w:val="Compact"/>
        <w:numPr>
          <w:ilvl w:val="0"/>
          <w:numId w:val="4"/>
        </w:numPr>
      </w:pPr>
      <w:r>
        <w:t>(_s): systematic error</w:t>
      </w:r>
    </w:p>
    <w:p w14:paraId="609AD5C3" w14:textId="77777777" w:rsidR="00572684" w:rsidRDefault="00000000">
      <w:pPr>
        <w:pStyle w:val="Compact"/>
        <w:numPr>
          <w:ilvl w:val="0"/>
          <w:numId w:val="4"/>
        </w:numPr>
      </w:pPr>
      <w:r>
        <w:t>(_{str}): structural error</w:t>
      </w:r>
    </w:p>
    <w:p w14:paraId="2F078A62" w14:textId="77777777" w:rsidR="00572684" w:rsidRDefault="00000000">
      <w:pPr>
        <w:pStyle w:val="Compact"/>
        <w:numPr>
          <w:ilvl w:val="0"/>
          <w:numId w:val="4"/>
        </w:numPr>
      </w:pPr>
      <w:r>
        <w:t>(R_e): error dominance ratio</w:t>
      </w:r>
    </w:p>
    <w:p w14:paraId="4F54A4B2" w14:textId="77777777" w:rsidR="00572684" w:rsidRDefault="00000000">
      <w:pPr>
        <w:pStyle w:val="Compact"/>
        <w:numPr>
          <w:ilvl w:val="0"/>
          <w:numId w:val="4"/>
        </w:numPr>
      </w:pPr>
      <w:r>
        <w:t>(e_p): probed growth parameter</w:t>
      </w:r>
    </w:p>
    <w:p w14:paraId="7D3F2B5C" w14:textId="77777777" w:rsidR="00572684" w:rsidRDefault="00000000">
      <w:pPr>
        <w:pStyle w:val="Compact"/>
        <w:numPr>
          <w:ilvl w:val="0"/>
          <w:numId w:val="4"/>
        </w:numPr>
      </w:pPr>
      <w:r>
        <w:t>(_l(d),_u(d)): lower and upper decimal envelopes of ()</w:t>
      </w:r>
    </w:p>
    <w:p w14:paraId="7B6F5B6F" w14:textId="77777777" w:rsidR="00572684" w:rsidRDefault="00000000">
      <w:pPr>
        <w:pStyle w:val="Compact"/>
        <w:numPr>
          <w:ilvl w:val="0"/>
          <w:numId w:val="4"/>
        </w:numPr>
      </w:pPr>
      <w:r>
        <w:t>(): regularization parameter</w:t>
      </w:r>
    </w:p>
    <w:p w14:paraId="7A13AAA1" w14:textId="77777777" w:rsidR="00572684" w:rsidRDefault="00000000">
      <w:pPr>
        <w:pStyle w:val="Compact"/>
        <w:numPr>
          <w:ilvl w:val="0"/>
          <w:numId w:val="4"/>
        </w:numPr>
      </w:pPr>
      <w:r>
        <w:t>(n_1,n_2,n_3): resonance parameters</w:t>
      </w:r>
    </w:p>
    <w:p w14:paraId="5F85E5B0" w14:textId="77777777" w:rsidR="00572684" w:rsidRDefault="00000000">
      <w:pPr>
        <w:pStyle w:val="Compact"/>
        <w:numPr>
          <w:ilvl w:val="0"/>
          <w:numId w:val="4"/>
        </w:numPr>
      </w:pPr>
      <w:r>
        <w:t>(n_4): admissibility mode index</w:t>
      </w:r>
    </w:p>
    <w:p w14:paraId="2EC96CE0" w14:textId="77777777" w:rsidR="00572684" w:rsidRDefault="00000000">
      <w:pPr>
        <w:pStyle w:val="Compact"/>
        <w:numPr>
          <w:ilvl w:val="0"/>
          <w:numId w:val="4"/>
        </w:numPr>
      </w:pPr>
      <w:r>
        <w:t>(): dimensionless propagation index</w:t>
      </w:r>
    </w:p>
    <w:p w14:paraId="0062A259" w14:textId="77777777" w:rsidR="00572684" w:rsidRDefault="00000000">
      <w:pPr>
        <w:pStyle w:val="Heading2"/>
      </w:pPr>
      <w:bookmarkStart w:id="35" w:name="appendix-b.-suggested-next-formal-steps"/>
      <w:bookmarkEnd w:id="34"/>
      <w:r>
        <w:t>Appendix B. Suggested next formal steps</w:t>
      </w:r>
    </w:p>
    <w:p w14:paraId="62FAE30F" w14:textId="77777777" w:rsidR="00572684" w:rsidRDefault="00000000">
      <w:pPr>
        <w:pStyle w:val="Compact"/>
        <w:numPr>
          <w:ilvl w:val="0"/>
          <w:numId w:val="5"/>
        </w:numPr>
      </w:pPr>
      <w:r>
        <w:t>Define a specific dynamical system (_t) in which (z_b) and (z_f) can be measured.</w:t>
      </w:r>
    </w:p>
    <w:p w14:paraId="4DE58F2A" w14:textId="77777777" w:rsidR="00572684" w:rsidRDefault="00000000">
      <w:pPr>
        <w:pStyle w:val="Compact"/>
        <w:numPr>
          <w:ilvl w:val="0"/>
          <w:numId w:val="5"/>
        </w:numPr>
      </w:pPr>
      <w:r>
        <w:t>Prove boundedness or instability criteria for selected resonance subfamilies.</w:t>
      </w:r>
    </w:p>
    <w:p w14:paraId="7AB228E1" w14:textId="77777777" w:rsidR="00572684" w:rsidRDefault="00000000">
      <w:pPr>
        <w:pStyle w:val="Compact"/>
        <w:numPr>
          <w:ilvl w:val="0"/>
          <w:numId w:val="5"/>
        </w:numPr>
      </w:pPr>
      <w:r>
        <w:t>Introduce a reproducible computational protocol for map generation.</w:t>
      </w:r>
    </w:p>
    <w:p w14:paraId="1FD72BCA" w14:textId="77777777" w:rsidR="00572684" w:rsidRDefault="00000000">
      <w:pPr>
        <w:pStyle w:val="Compact"/>
        <w:numPr>
          <w:ilvl w:val="0"/>
          <w:numId w:val="5"/>
        </w:numPr>
      </w:pPr>
      <w:r>
        <w:t>Replace symbolic number-theoretic language with clearly labeled conjectures or remove it.</w:t>
      </w:r>
    </w:p>
    <w:p w14:paraId="1CB7952A" w14:textId="77777777" w:rsidR="00572684" w:rsidRDefault="00000000">
      <w:pPr>
        <w:pStyle w:val="Compact"/>
        <w:numPr>
          <w:ilvl w:val="0"/>
          <w:numId w:val="5"/>
        </w:numPr>
      </w:pPr>
      <w:r>
        <w:t>Add a short section comparing this framework to standard equilibrium perturbation methods.</w:t>
      </w:r>
      <w:bookmarkEnd w:id="0"/>
      <w:bookmarkEnd w:id="35"/>
    </w:p>
    <w:sectPr w:rsidR="00572684">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C9E2E5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2D14C3D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5E068C9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74140951">
    <w:abstractNumId w:val="0"/>
  </w:num>
  <w:num w:numId="2" w16cid:durableId="3719273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150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3929676">
    <w:abstractNumId w:val="1"/>
  </w:num>
  <w:num w:numId="5" w16cid:durableId="13329465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572684"/>
    <w:rsid w:val="00572684"/>
    <w:rsid w:val="00744C7B"/>
    <w:rsid w:val="007A26FC"/>
    <w:rsid w:val="00BA0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32E0"/>
  <w15:docId w15:val="{81398614-19DB-43B3-8AEB-5E13F83B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2504</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William Van Wyk</cp:lastModifiedBy>
  <cp:revision>2</cp:revision>
  <dcterms:created xsi:type="dcterms:W3CDTF">2026-03-13T13:14:00Z</dcterms:created>
  <dcterms:modified xsi:type="dcterms:W3CDTF">2026-03-13T13:28:00Z</dcterms:modified>
</cp:coreProperties>
</file>